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06" w:rsidRPr="00080D06" w:rsidRDefault="00080D06" w:rsidP="00080D06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Расчетные способы определения объема потребленной электроэнергии (мощности) и основания их применения</w:t>
      </w:r>
    </w:p>
    <w:p w:rsidR="00080D06" w:rsidRDefault="00080D06" w:rsidP="00080D06">
      <w:pPr>
        <w:pStyle w:val="a7"/>
        <w:rPr>
          <w:rFonts w:ascii="Times New Roman" w:hAnsi="Times New Roman" w:cs="Times New Roman"/>
          <w:b/>
          <w:bCs/>
          <w:sz w:val="19"/>
          <w:szCs w:val="19"/>
          <w:lang w:eastAsia="ru-RU"/>
        </w:rPr>
      </w:pPr>
    </w:p>
    <w:p w:rsidR="00080D06" w:rsidRDefault="00080D06" w:rsidP="00080D06">
      <w:pPr>
        <w:pStyle w:val="a7"/>
        <w:rPr>
          <w:rFonts w:ascii="Times New Roman" w:hAnsi="Times New Roman" w:cs="Times New Roman"/>
          <w:b/>
          <w:bCs/>
          <w:sz w:val="19"/>
          <w:szCs w:val="19"/>
          <w:lang w:eastAsia="ru-RU"/>
        </w:rPr>
      </w:pPr>
    </w:p>
    <w:p w:rsidR="00080D06" w:rsidRPr="00080D06" w:rsidRDefault="00080D06" w:rsidP="00080D0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</w:t>
      </w:r>
      <w:proofErr w:type="gram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применения расчетных способов определения объема потребленной электрической энергии</w:t>
      </w:r>
      <w:proofErr w:type="gram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080D06" w:rsidRDefault="00080D06" w:rsidP="00080D0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факта </w:t>
      </w:r>
      <w:proofErr w:type="spell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безучетного</w:t>
      </w:r>
      <w:proofErr w:type="spell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потребления в результате проверок приборов учета потребителей и составления сетевой организацией акта о неучтенном потреблении электрической энергии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80D06" w:rsidRDefault="00080D06" w:rsidP="00080D0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С даты составления</w:t>
      </w:r>
      <w:proofErr w:type="gram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 акта о неучтенном потреблении электрической энергии до восстановления надлежащего учета электрической энергии и проведения процедуры допуска в эксплуатацию прибора учета (измерительного комплекса);</w:t>
      </w:r>
    </w:p>
    <w:p w:rsidR="00080D06" w:rsidRDefault="00080D06" w:rsidP="00080D0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>Выявление факта бездоговорного потребления электрической энергии потребителем в результате самовольного присоединения энергопринимающих устройств к </w:t>
      </w:r>
      <w:proofErr w:type="spell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электросетевому</w:t>
      </w:r>
      <w:proofErr w:type="spell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 хозяйству, в том числе в период введенного полного ограничения потребления электрической энергии за задолженность за потребленную электрическую энергию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80D06" w:rsidRDefault="00080D06" w:rsidP="00080D0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>В случае 2-х кратного недопуска к приборам учета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80D06" w:rsidRDefault="00080D06" w:rsidP="00080D0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 показаний прибора учета в установленные сроки</w:t>
      </w:r>
      <w:r w:rsidR="000349E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 в течени</w:t>
      </w:r>
      <w:r w:rsidR="000349E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 2-х и более расчетных периодов, начиная с 3-го расчетного периода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80D06" w:rsidRPr="00080D06" w:rsidRDefault="00080D06" w:rsidP="00080D0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>Отсутствие прибора учета (истечение межповерочного срока) в течени</w:t>
      </w:r>
      <w:r w:rsidR="000349E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 2-х и более расчетных периодов, начиная с 3-го расчетного периода.</w:t>
      </w:r>
    </w:p>
    <w:p w:rsidR="00080D06" w:rsidRP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80D06" w:rsidRDefault="00080D06" w:rsidP="00080D06">
      <w:pPr>
        <w:pStyle w:val="a7"/>
        <w:ind w:firstLine="4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 №1:</w:t>
      </w:r>
    </w:p>
    <w:p w:rsidR="00080D06" w:rsidRPr="00080D06" w:rsidRDefault="00080D06" w:rsidP="00080D06">
      <w:pPr>
        <w:pStyle w:val="a7"/>
        <w:ind w:firstLine="4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случаях установления фактов </w:t>
      </w:r>
      <w:proofErr w:type="spell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безучетного</w:t>
      </w:r>
      <w:proofErr w:type="spell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 или бездоговорного потребления, отсутствия у потребителя прибора учета или не передачи показаний прибора учета в установленные сроки более двух месяцев, начиная с 3-го расчетного периода, а также в случае 2-кратного недопуска к расчетному прибору учета, применяются следующие расчетные способы определения объема потребления электрической энергии (мощности):</w:t>
      </w:r>
    </w:p>
    <w:p w:rsidR="00080D06" w:rsidRPr="00080D06" w:rsidRDefault="00080D06" w:rsidP="00080D0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bCs/>
          <w:sz w:val="24"/>
          <w:szCs w:val="24"/>
          <w:lang w:eastAsia="ru-RU"/>
        </w:rPr>
        <w:t>      а)</w:t>
      </w:r>
      <w:r w:rsidRPr="00080D06">
        <w:rPr>
          <w:rFonts w:ascii="Times New Roman" w:hAnsi="Times New Roman" w:cs="Times New Roman"/>
          <w:sz w:val="24"/>
          <w:szCs w:val="24"/>
          <w:lang w:eastAsia="ru-RU"/>
        </w:rPr>
        <w:t> объем потребления электрической энергии (мощности) в соответствующей точке поставки, МВт</w:t>
      </w:r>
      <w:r w:rsidRPr="00080D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945" cy="122555"/>
            <wp:effectExtent l="19050" t="0" r="8255" b="0"/>
            <wp:docPr id="1" name="Рисунок 1" descr="https://voronezh.tns-e.ru/upload/medialibrary/a78/a78298cb4dad9527315bf17d488f6f81/index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onezh.tns-e.ru/upload/medialibrary/a78/a78298cb4dad9527315bf17d488f6f81/index_im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>, определяется:</w:t>
      </w:r>
    </w:p>
    <w:p w:rsidR="00080D06" w:rsidRPr="00080D06" w:rsidRDefault="00080D06" w:rsidP="00080D0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>если в договоре имеются данные о величине максимальной мощности энергопринимающих устройств в соответствующей точке поставки, по формуле:</w:t>
      </w:r>
    </w:p>
    <w:p w:rsidR="00080D06" w:rsidRPr="00080D06" w:rsidRDefault="00080D06" w:rsidP="00080D06">
      <w:pPr>
        <w:spacing w:before="100" w:beforeAutospacing="1" w:after="100" w:afterAutospacing="1" w:line="322" w:lineRule="atLeast"/>
        <w:rPr>
          <w:rFonts w:ascii="Roboto" w:eastAsia="Times New Roman" w:hAnsi="Roboto" w:cs="Times New Roman"/>
          <w:color w:val="3E3E3E"/>
          <w:sz w:val="19"/>
          <w:szCs w:val="19"/>
          <w:lang w:eastAsia="ru-RU"/>
        </w:rPr>
      </w:pPr>
      <w:r w:rsidRPr="00080D06">
        <w:rPr>
          <w:rFonts w:ascii="Roboto" w:eastAsia="Times New Roman" w:hAnsi="Roboto" w:cs="Times New Roman"/>
          <w:color w:val="3E3E3E"/>
          <w:sz w:val="19"/>
          <w:szCs w:val="19"/>
          <w:lang w:eastAsia="ru-RU"/>
        </w:rPr>
        <w:t> </w:t>
      </w:r>
      <w:r>
        <w:rPr>
          <w:rFonts w:ascii="Roboto" w:eastAsia="Times New Roman" w:hAnsi="Roboto" w:cs="Times New Roman"/>
          <w:noProof/>
          <w:color w:val="3E3E3E"/>
          <w:sz w:val="19"/>
          <w:szCs w:val="19"/>
          <w:lang w:eastAsia="ru-RU"/>
        </w:rPr>
        <w:drawing>
          <wp:inline distT="0" distB="0" distL="0" distR="0">
            <wp:extent cx="979054" cy="314696"/>
            <wp:effectExtent l="19050" t="0" r="0" b="0"/>
            <wp:docPr id="2" name="Рисунок 2" descr="https://voronezh.tns-e.ru/upload/medialibrary/b0b/b0bd3d64a349a0cf006e3073aa5162e1/index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onezh.tns-e.ru/upload/medialibrary/b0b/b0bd3d64a349a0cf006e3073aa5162e1/index_im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08" cy="31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D06">
        <w:rPr>
          <w:rFonts w:ascii="Roboto" w:eastAsia="Times New Roman" w:hAnsi="Roboto" w:cs="Times New Roman"/>
          <w:color w:val="3E3E3E"/>
          <w:sz w:val="19"/>
          <w:szCs w:val="19"/>
          <w:lang w:eastAsia="ru-RU"/>
        </w:rPr>
        <w:t>,</w:t>
      </w:r>
    </w:p>
    <w:p w:rsidR="00080D06" w:rsidRP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080D06" w:rsidRP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080D06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макс</w:t>
      </w:r>
      <w:proofErr w:type="spell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> - максимальная мощность энергопринимающих устройств, относящаяся к соответствующей точке поставки, МВт;</w:t>
      </w:r>
    </w:p>
    <w:p w:rsid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T - количество часов в расчетном периоде, времени, в течение которого осуществлялось </w:t>
      </w:r>
      <w:proofErr w:type="spell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безучетное</w:t>
      </w:r>
      <w:proofErr w:type="spell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потребление электрической энергии, но не более 8760 часов.</w:t>
      </w:r>
    </w:p>
    <w:p w:rsid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D06" w:rsidRP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сли в договоре, обеспечивающем продажу электрической энергии (мощности) на розничном рынке, отсутствуют данные о величине максимальной мощности энергопринимающих устройств или если при выявлении </w:t>
      </w:r>
      <w:proofErr w:type="spell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безучетного</w:t>
      </w:r>
      <w:proofErr w:type="spell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потребления было выявлено использование потребителем мощности, величина которой превышает величину максимальной мощности энергопринимающих устройств потребителя, указанную в договоре, по формулам:</w:t>
      </w:r>
    </w:p>
    <w:p w:rsidR="00080D06" w:rsidRPr="00080D06" w:rsidRDefault="00080D06" w:rsidP="00080D06">
      <w:pPr>
        <w:spacing w:before="100" w:beforeAutospacing="1" w:after="100" w:afterAutospacing="1" w:line="32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>- для однофазного прибора учёта:</w:t>
      </w:r>
    </w:p>
    <w:p w:rsidR="00080D06" w:rsidRPr="00080D06" w:rsidRDefault="00080D06" w:rsidP="00080D06">
      <w:pPr>
        <w:spacing w:before="100" w:beforeAutospacing="1" w:after="100" w:afterAutospacing="1" w:line="322" w:lineRule="atLeast"/>
        <w:rPr>
          <w:rFonts w:ascii="Roboto" w:eastAsia="Times New Roman" w:hAnsi="Roboto" w:cs="Times New Roman"/>
          <w:color w:val="3E3E3E"/>
          <w:sz w:val="19"/>
          <w:szCs w:val="19"/>
          <w:lang w:eastAsia="ru-RU"/>
        </w:rPr>
      </w:pPr>
      <w:r w:rsidRPr="00080D06">
        <w:rPr>
          <w:rFonts w:ascii="Roboto" w:eastAsia="Times New Roman" w:hAnsi="Roboto" w:cs="Times New Roman"/>
          <w:color w:val="3E3E3E"/>
          <w:sz w:val="19"/>
          <w:szCs w:val="19"/>
          <w:lang w:eastAsia="ru-RU"/>
        </w:rPr>
        <w:t> </w:t>
      </w:r>
      <w:r>
        <w:rPr>
          <w:rFonts w:ascii="Roboto" w:eastAsia="Times New Roman" w:hAnsi="Roboto" w:cs="Times New Roman"/>
          <w:noProof/>
          <w:color w:val="3E3E3E"/>
          <w:sz w:val="19"/>
          <w:szCs w:val="19"/>
          <w:lang w:eastAsia="ru-RU"/>
        </w:rPr>
        <w:drawing>
          <wp:inline distT="0" distB="0" distL="0" distR="0">
            <wp:extent cx="1856105" cy="457200"/>
            <wp:effectExtent l="19050" t="0" r="0" b="0"/>
            <wp:docPr id="3" name="Рисунок 3" descr="https://voronezh.tns-e.ru/upload/medialibrary/815/815d7560aa580aa77431742304739727/index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ronezh.tns-e.ru/upload/medialibrary/815/815d7560aa580aa77431742304739727/index_im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D06">
        <w:rPr>
          <w:rFonts w:ascii="Roboto" w:eastAsia="Times New Roman" w:hAnsi="Roboto" w:cs="Times New Roman"/>
          <w:color w:val="3E3E3E"/>
          <w:sz w:val="19"/>
          <w:szCs w:val="19"/>
          <w:lang w:eastAsia="ru-RU"/>
        </w:rPr>
        <w:t>,</w:t>
      </w:r>
    </w:p>
    <w:p w:rsidR="00080D06" w:rsidRPr="00080D06" w:rsidRDefault="00080D06" w:rsidP="00080D06">
      <w:pPr>
        <w:spacing w:before="100" w:beforeAutospacing="1" w:after="100" w:afterAutospacing="1" w:line="32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трех</w:t>
      </w:r>
      <w:r w:rsidRPr="00080D06">
        <w:rPr>
          <w:rFonts w:ascii="Times New Roman" w:hAnsi="Times New Roman" w:cs="Times New Roman"/>
          <w:sz w:val="24"/>
          <w:szCs w:val="24"/>
          <w:lang w:eastAsia="ru-RU"/>
        </w:rPr>
        <w:t>фазного прибора учёта:</w:t>
      </w:r>
    </w:p>
    <w:p w:rsidR="00080D06" w:rsidRPr="00080D06" w:rsidRDefault="00080D06" w:rsidP="00080D06">
      <w:pPr>
        <w:spacing w:before="100" w:beforeAutospacing="1" w:after="100" w:afterAutospacing="1" w:line="322" w:lineRule="atLeast"/>
        <w:rPr>
          <w:rFonts w:ascii="Roboto" w:eastAsia="Times New Roman" w:hAnsi="Roboto" w:cs="Times New Roman"/>
          <w:color w:val="3E3E3E"/>
          <w:sz w:val="19"/>
          <w:szCs w:val="19"/>
          <w:lang w:eastAsia="ru-RU"/>
        </w:rPr>
      </w:pPr>
      <w:r>
        <w:rPr>
          <w:rFonts w:ascii="Roboto" w:eastAsia="Times New Roman" w:hAnsi="Roboto" w:cs="Times New Roman"/>
          <w:noProof/>
          <w:color w:val="3E3E3E"/>
          <w:sz w:val="19"/>
          <w:szCs w:val="19"/>
          <w:lang w:eastAsia="ru-RU"/>
        </w:rPr>
        <w:drawing>
          <wp:inline distT="0" distB="0" distL="0" distR="0">
            <wp:extent cx="2012950" cy="457200"/>
            <wp:effectExtent l="19050" t="0" r="6350" b="0"/>
            <wp:docPr id="4" name="Рисунок 4" descr="https://voronezh.tns-e.ru/upload/medialibrary/889/8890861f23a89379747a07679b0953da/index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ronezh.tns-e.ru/upload/medialibrary/889/8890861f23a89379747a07679b0953da/index_im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D06">
        <w:rPr>
          <w:rFonts w:ascii="Roboto" w:eastAsia="Times New Roman" w:hAnsi="Roboto" w:cs="Times New Roman"/>
          <w:color w:val="3E3E3E"/>
          <w:sz w:val="19"/>
          <w:szCs w:val="19"/>
          <w:lang w:eastAsia="ru-RU"/>
        </w:rPr>
        <w:t>,</w:t>
      </w:r>
    </w:p>
    <w:p w:rsidR="00080D06" w:rsidRP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080D06" w:rsidRP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I</w:t>
      </w:r>
      <w:r w:rsidRPr="00080D06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доп.дл</w:t>
      </w:r>
      <w:proofErr w:type="spellEnd"/>
      <w:proofErr w:type="gramStart"/>
      <w:r w:rsidRPr="00080D06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.</w:t>
      </w:r>
      <w:proofErr w:type="gram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>опустимая длительная токовая нагрузка вводного провода (кабеля), А;</w:t>
      </w:r>
    </w:p>
    <w:p w:rsidR="00080D06" w:rsidRP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U</w:t>
      </w:r>
      <w:r w:rsidRPr="00080D06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ф</w:t>
      </w:r>
      <w:proofErr w:type="gramStart"/>
      <w:r w:rsidRPr="00080D06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.н</w:t>
      </w:r>
      <w:proofErr w:type="gramEnd"/>
      <w:r w:rsidRPr="00080D06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ом</w:t>
      </w:r>
      <w:proofErr w:type="spellEnd"/>
      <w:r w:rsidRPr="00080D06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080D06">
        <w:rPr>
          <w:rFonts w:ascii="Times New Roman" w:hAnsi="Times New Roman" w:cs="Times New Roman"/>
          <w:sz w:val="24"/>
          <w:szCs w:val="24"/>
          <w:lang w:eastAsia="ru-RU"/>
        </w:rPr>
        <w:t> - номинальное фазное напряжение, кВ;</w:t>
      </w:r>
    </w:p>
    <w:p w:rsidR="00080D06" w:rsidRP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170815"/>
            <wp:effectExtent l="19050" t="0" r="9525" b="0"/>
            <wp:docPr id="5" name="Рисунок 5" descr="https://voronezh.tns-e.ru/upload/medialibrary/811/8118ac0350fa51f959fa6308b4b6af76/index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oronezh.tns-e.ru/upload/medialibrary/811/8118ac0350fa51f959fa6308b4b6af76/index_im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D06">
        <w:rPr>
          <w:rFonts w:ascii="Times New Roman" w:hAnsi="Times New Roman" w:cs="Times New Roman"/>
          <w:sz w:val="24"/>
          <w:szCs w:val="24"/>
          <w:lang w:eastAsia="ru-RU"/>
        </w:rPr>
        <w:t> - коэффициент мощности при максимуме нагрузки. При отсутствии данных в договоре коэффициент принимается равны</w:t>
      </w:r>
      <w:r w:rsidR="00AB4628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080D06">
        <w:rPr>
          <w:rFonts w:ascii="Times New Roman" w:hAnsi="Times New Roman" w:cs="Times New Roman"/>
          <w:sz w:val="24"/>
          <w:szCs w:val="24"/>
          <w:lang w:eastAsia="ru-RU"/>
        </w:rPr>
        <w:t xml:space="preserve"> 0,9;</w:t>
      </w:r>
    </w:p>
    <w:p w:rsidR="00080D06" w:rsidRPr="00080D06" w:rsidRDefault="00080D06" w:rsidP="00080D06">
      <w:pPr>
        <w:spacing w:before="100" w:beforeAutospacing="1" w:after="100" w:afterAutospacing="1" w:line="322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>      б) почасовые объемы потребления электрической энергии в соответствующей точке поставки, МВт</w:t>
      </w:r>
      <w:r w:rsidRPr="00080D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945" cy="122555"/>
            <wp:effectExtent l="19050" t="0" r="8255" b="0"/>
            <wp:docPr id="6" name="Рисунок 6" descr="https://voronezh.tns-e.ru/upload/medialibrary/a78/a78298cb4dad9527315bf17d488f6f81/index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oronezh.tns-e.ru/upload/medialibrary/a78/a78298cb4dad9527315bf17d488f6f81/index_im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>, определяются по формуле:</w:t>
      </w:r>
    </w:p>
    <w:p w:rsidR="00080D06" w:rsidRPr="00080D06" w:rsidRDefault="00080D06" w:rsidP="00080D06">
      <w:pPr>
        <w:spacing w:before="100" w:beforeAutospacing="1" w:after="100" w:afterAutospacing="1" w:line="322" w:lineRule="atLeast"/>
        <w:rPr>
          <w:rFonts w:ascii="Roboto" w:eastAsia="Times New Roman" w:hAnsi="Roboto" w:cs="Times New Roman"/>
          <w:color w:val="3E3E3E"/>
          <w:sz w:val="19"/>
          <w:szCs w:val="19"/>
          <w:lang w:eastAsia="ru-RU"/>
        </w:rPr>
      </w:pPr>
      <w:r>
        <w:rPr>
          <w:rFonts w:ascii="Roboto" w:eastAsia="Times New Roman" w:hAnsi="Roboto" w:cs="Times New Roman"/>
          <w:noProof/>
          <w:color w:val="3E3E3E"/>
          <w:sz w:val="19"/>
          <w:szCs w:val="19"/>
          <w:lang w:eastAsia="ru-RU"/>
        </w:rPr>
        <w:drawing>
          <wp:inline distT="0" distB="0" distL="0" distR="0">
            <wp:extent cx="628015" cy="429895"/>
            <wp:effectExtent l="19050" t="0" r="635" b="0"/>
            <wp:docPr id="7" name="Рисунок 7" descr="https://voronezh.tns-e.ru/upload/medialibrary/afe/afedeaac24e76e80896f32e36f67227a/index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oronezh.tns-e.ru/upload/medialibrary/afe/afedeaac24e76e80896f32e36f67227a/index_img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D06">
        <w:rPr>
          <w:rFonts w:ascii="Roboto" w:eastAsia="Times New Roman" w:hAnsi="Roboto" w:cs="Times New Roman"/>
          <w:color w:val="3E3E3E"/>
          <w:sz w:val="19"/>
          <w:szCs w:val="19"/>
          <w:lang w:eastAsia="ru-RU"/>
        </w:rPr>
        <w:t>,</w:t>
      </w:r>
    </w:p>
    <w:p w:rsid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>где W - объем потребления электрической энергии в соответствующей точке поставки, МВт</w:t>
      </w:r>
      <w:r w:rsidRPr="00080D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945" cy="122555"/>
            <wp:effectExtent l="19050" t="0" r="8255" b="0"/>
            <wp:docPr id="8" name="Рисунок 8" descr="https://voronezh.tns-e.ru/upload/medialibrary/a78/a78298cb4dad9527315bf17d488f6f81/index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oronezh.tns-e.ru/upload/medialibrary/a78/a78298cb4dad9527315bf17d488f6f81/index_im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D06" w:rsidRDefault="00080D06" w:rsidP="00080D0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 №2:</w:t>
      </w:r>
    </w:p>
    <w:p w:rsidR="00080D06" w:rsidRPr="00080D06" w:rsidRDefault="00080D06" w:rsidP="00080D0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>Объем бездоговорного потребления электрической энергии, МВт</w:t>
      </w:r>
      <w:r w:rsidRPr="00080D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945" cy="122555"/>
            <wp:effectExtent l="19050" t="0" r="8255" b="0"/>
            <wp:docPr id="9" name="Рисунок 9" descr="https://voronezh.tns-e.ru/upload/medialibrary/a78/a78298cb4dad9527315bf17d488f6f81/index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oronezh.tns-e.ru/upload/medialibrary/a78/a78298cb4dad9527315bf17d488f6f81/index_im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>, определяется исходя из величины допустимой длительной токовой нагрузки каждого вводного провода (кабеля) по формулам:</w:t>
      </w:r>
    </w:p>
    <w:p w:rsidR="00080D06" w:rsidRP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80D06">
        <w:rPr>
          <w:rFonts w:ascii="Times New Roman" w:hAnsi="Times New Roman" w:cs="Times New Roman"/>
          <w:sz w:val="24"/>
          <w:szCs w:val="24"/>
          <w:lang w:eastAsia="ru-RU"/>
        </w:rPr>
        <w:t>для однофазного ввода:</w:t>
      </w:r>
    </w:p>
    <w:p w:rsidR="00080D06" w:rsidRPr="00080D06" w:rsidRDefault="00080D06" w:rsidP="00080D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E3E3E"/>
          <w:sz w:val="19"/>
          <w:szCs w:val="19"/>
          <w:lang w:eastAsia="ru-RU"/>
        </w:rPr>
      </w:pPr>
      <w:r>
        <w:rPr>
          <w:rFonts w:ascii="Roboto" w:eastAsia="Times New Roman" w:hAnsi="Roboto" w:cs="Times New Roman"/>
          <w:noProof/>
          <w:color w:val="3E3E3E"/>
          <w:sz w:val="19"/>
          <w:szCs w:val="19"/>
          <w:lang w:eastAsia="ru-RU"/>
        </w:rPr>
        <w:drawing>
          <wp:inline distT="0" distB="0" distL="0" distR="0">
            <wp:extent cx="1972310" cy="457200"/>
            <wp:effectExtent l="19050" t="0" r="8890" b="0"/>
            <wp:docPr id="10" name="Рисунок 10" descr="https://voronezh.tns-e.ru/upload/medialibrary/0f2/0f2ca74bfff9408ddf6388a415695853/index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oronezh.tns-e.ru/upload/medialibrary/0f2/0f2ca74bfff9408ddf6388a415695853/index_img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D06">
        <w:rPr>
          <w:rFonts w:ascii="Roboto" w:eastAsia="Times New Roman" w:hAnsi="Roboto" w:cs="Times New Roman"/>
          <w:color w:val="3E3E3E"/>
          <w:sz w:val="19"/>
          <w:szCs w:val="19"/>
          <w:lang w:eastAsia="ru-RU"/>
        </w:rPr>
        <w:t>,</w:t>
      </w:r>
    </w:p>
    <w:p w:rsidR="00080D06" w:rsidRPr="00080D06" w:rsidRDefault="00080D06" w:rsidP="00080D0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80D06">
        <w:rPr>
          <w:rFonts w:ascii="Times New Roman" w:hAnsi="Times New Roman" w:cs="Times New Roman"/>
          <w:sz w:val="24"/>
          <w:szCs w:val="24"/>
          <w:lang w:eastAsia="ru-RU"/>
        </w:rPr>
        <w:t>для трехфазного ввода:</w:t>
      </w:r>
    </w:p>
    <w:p w:rsidR="00080D06" w:rsidRPr="00080D06" w:rsidRDefault="00080D06" w:rsidP="00080D0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E3E3E"/>
          <w:sz w:val="19"/>
          <w:szCs w:val="19"/>
          <w:lang w:eastAsia="ru-RU"/>
        </w:rPr>
      </w:pPr>
      <w:r>
        <w:rPr>
          <w:rFonts w:ascii="Roboto" w:eastAsia="Times New Roman" w:hAnsi="Roboto" w:cs="Times New Roman"/>
          <w:noProof/>
          <w:color w:val="3E3E3E"/>
          <w:sz w:val="19"/>
          <w:szCs w:val="19"/>
          <w:lang w:eastAsia="ru-RU"/>
        </w:rPr>
        <w:drawing>
          <wp:inline distT="0" distB="0" distL="0" distR="0">
            <wp:extent cx="2136140" cy="457200"/>
            <wp:effectExtent l="19050" t="0" r="0" b="0"/>
            <wp:docPr id="11" name="Рисунок 11" descr="https://voronezh.tns-e.ru/upload/medialibrary/1d5/1d586f1b43eed77e65981ef3f5598260/index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oronezh.tns-e.ru/upload/medialibrary/1d5/1d586f1b43eed77e65981ef3f5598260/index_img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0D06">
        <w:rPr>
          <w:rFonts w:ascii="Roboto" w:eastAsia="Times New Roman" w:hAnsi="Roboto" w:cs="Times New Roman"/>
          <w:color w:val="3E3E3E"/>
          <w:sz w:val="19"/>
          <w:szCs w:val="19"/>
          <w:lang w:eastAsia="ru-RU"/>
        </w:rPr>
        <w:t>,</w:t>
      </w:r>
    </w:p>
    <w:p w:rsidR="00080D06" w:rsidRPr="00080D06" w:rsidRDefault="00080D06" w:rsidP="00080D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80D06">
        <w:rPr>
          <w:rFonts w:ascii="Times New Roman" w:hAnsi="Times New Roman" w:cs="Times New Roman"/>
          <w:sz w:val="24"/>
          <w:szCs w:val="24"/>
          <w:lang w:eastAsia="ru-RU"/>
        </w:rPr>
        <w:t>где </w:t>
      </w:r>
      <w:proofErr w:type="spellStart"/>
      <w:proofErr w:type="gramStart"/>
      <w:r w:rsidRPr="00080D06">
        <w:rPr>
          <w:rFonts w:ascii="Times New Roman" w:hAnsi="Times New Roman" w:cs="Times New Roman"/>
          <w:sz w:val="24"/>
          <w:szCs w:val="24"/>
          <w:lang w:eastAsia="ru-RU"/>
        </w:rPr>
        <w:t>T</w:t>
      </w:r>
      <w:proofErr w:type="gram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>бд</w:t>
      </w:r>
      <w:proofErr w:type="spellEnd"/>
      <w:r w:rsidRPr="00080D06">
        <w:rPr>
          <w:rFonts w:ascii="Times New Roman" w:hAnsi="Times New Roman" w:cs="Times New Roman"/>
          <w:sz w:val="24"/>
          <w:szCs w:val="24"/>
          <w:lang w:eastAsia="ru-RU"/>
        </w:rPr>
        <w:t> - количество часов, в течение которого осуществлялось бездоговорное потребление, но не более чем 8760 часов, ч.</w:t>
      </w:r>
    </w:p>
    <w:sectPr w:rsidR="00080D06" w:rsidRPr="00080D06" w:rsidSect="00080D0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0188C"/>
    <w:multiLevelType w:val="multilevel"/>
    <w:tmpl w:val="CF4A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6114D"/>
    <w:multiLevelType w:val="multilevel"/>
    <w:tmpl w:val="C95E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C259D"/>
    <w:multiLevelType w:val="multilevel"/>
    <w:tmpl w:val="43A2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901CF"/>
    <w:multiLevelType w:val="hybridMultilevel"/>
    <w:tmpl w:val="064A8382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7A5B5371"/>
    <w:multiLevelType w:val="multilevel"/>
    <w:tmpl w:val="D918E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80D06"/>
    <w:rsid w:val="000349EE"/>
    <w:rsid w:val="00034D2F"/>
    <w:rsid w:val="00080D06"/>
    <w:rsid w:val="002A3E6D"/>
    <w:rsid w:val="005B27E5"/>
    <w:rsid w:val="00637FAD"/>
    <w:rsid w:val="00815A3C"/>
    <w:rsid w:val="00855C37"/>
    <w:rsid w:val="00A55C22"/>
    <w:rsid w:val="00AB4628"/>
    <w:rsid w:val="00C027CC"/>
    <w:rsid w:val="00CE4A81"/>
    <w:rsid w:val="00DC65A6"/>
    <w:rsid w:val="00DF0B55"/>
    <w:rsid w:val="00DF4B23"/>
    <w:rsid w:val="00E10903"/>
    <w:rsid w:val="00EB73CA"/>
    <w:rsid w:val="00FD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81"/>
  </w:style>
  <w:style w:type="paragraph" w:styleId="1">
    <w:name w:val="heading 1"/>
    <w:basedOn w:val="a"/>
    <w:link w:val="10"/>
    <w:uiPriority w:val="9"/>
    <w:qFormat/>
    <w:rsid w:val="00080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0D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D0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80D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13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2000">
              <w:marLeft w:val="0"/>
              <w:marRight w:val="64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625">
              <w:marLeft w:val="0"/>
              <w:marRight w:val="64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2023-10-10T05:38:00Z</dcterms:created>
  <dcterms:modified xsi:type="dcterms:W3CDTF">2023-10-10T13:19:00Z</dcterms:modified>
</cp:coreProperties>
</file>